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4E" w:rsidRPr="00A50E4E" w:rsidRDefault="00A50E4E" w:rsidP="00A50E4E">
      <w:pPr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50E4E">
        <w:rPr>
          <w:rFonts w:ascii="Times New Roman" w:eastAsia="Times New Roman" w:hAnsi="Times New Roman" w:cs="Times New Roman"/>
          <w:b/>
          <w:bCs/>
          <w:sz w:val="24"/>
          <w:szCs w:val="24"/>
        </w:rPr>
        <w:t>Thông</w:t>
      </w:r>
      <w:proofErr w:type="spellEnd"/>
      <w:r w:rsidRPr="00A50E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0E4E">
        <w:rPr>
          <w:rFonts w:ascii="Times New Roman" w:eastAsia="Times New Roman" w:hAnsi="Times New Roman" w:cs="Times New Roman"/>
          <w:b/>
          <w:bCs/>
          <w:sz w:val="24"/>
          <w:szCs w:val="24"/>
        </w:rPr>
        <w:t>báo</w:t>
      </w:r>
      <w:proofErr w:type="spellEnd"/>
      <w:r w:rsidRPr="00A50E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0E4E">
        <w:rPr>
          <w:rFonts w:ascii="Times New Roman" w:eastAsia="Times New Roman" w:hAnsi="Times New Roman" w:cs="Times New Roman"/>
          <w:b/>
          <w:bCs/>
          <w:sz w:val="24"/>
          <w:szCs w:val="24"/>
        </w:rPr>
        <w:t>bán</w:t>
      </w:r>
      <w:proofErr w:type="spellEnd"/>
      <w:r w:rsidRPr="00A50E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0E4E">
        <w:rPr>
          <w:rFonts w:ascii="Times New Roman" w:eastAsia="Times New Roman" w:hAnsi="Times New Roman" w:cs="Times New Roman"/>
          <w:b/>
          <w:bCs/>
          <w:sz w:val="24"/>
          <w:szCs w:val="24"/>
        </w:rPr>
        <w:t>Đấu</w:t>
      </w:r>
      <w:proofErr w:type="spellEnd"/>
      <w:r w:rsidRPr="00A50E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0E4E">
        <w:rPr>
          <w:rFonts w:ascii="Times New Roman" w:eastAsia="Times New Roman" w:hAnsi="Times New Roman" w:cs="Times New Roman"/>
          <w:b/>
          <w:bCs/>
          <w:sz w:val="24"/>
          <w:szCs w:val="24"/>
        </w:rPr>
        <w:t>giá</w:t>
      </w:r>
      <w:proofErr w:type="spellEnd"/>
      <w:r w:rsidRPr="00A50E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0E4E">
        <w:rPr>
          <w:rFonts w:ascii="Times New Roman" w:eastAsia="Times New Roman" w:hAnsi="Times New Roman" w:cs="Times New Roman"/>
          <w:b/>
          <w:bCs/>
          <w:sz w:val="24"/>
          <w:szCs w:val="24"/>
        </w:rPr>
        <w:t>cổ</w:t>
      </w:r>
      <w:proofErr w:type="spellEnd"/>
      <w:r w:rsidRPr="00A50E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0E4E">
        <w:rPr>
          <w:rFonts w:ascii="Times New Roman" w:eastAsia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A50E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0E4E">
        <w:rPr>
          <w:rFonts w:ascii="Times New Roman" w:eastAsia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A50E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TCT </w:t>
      </w:r>
      <w:proofErr w:type="spellStart"/>
      <w:r w:rsidRPr="00A50E4E">
        <w:rPr>
          <w:rFonts w:ascii="Times New Roman" w:eastAsia="Times New Roman" w:hAnsi="Times New Roman" w:cs="Times New Roman"/>
          <w:b/>
          <w:bCs/>
          <w:sz w:val="24"/>
          <w:szCs w:val="24"/>
        </w:rPr>
        <w:t>Sông</w:t>
      </w:r>
      <w:proofErr w:type="spellEnd"/>
      <w:r w:rsidRPr="00A50E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0E4E">
        <w:rPr>
          <w:rFonts w:ascii="Times New Roman" w:eastAsia="Times New Roman" w:hAnsi="Times New Roman" w:cs="Times New Roman"/>
          <w:b/>
          <w:bCs/>
          <w:sz w:val="24"/>
          <w:szCs w:val="24"/>
        </w:rPr>
        <w:t>Đà</w:t>
      </w:r>
      <w:proofErr w:type="spellEnd"/>
      <w:r w:rsidRPr="00A50E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0E4E">
        <w:rPr>
          <w:rFonts w:ascii="Times New Roman" w:eastAsia="Times New Roman" w:hAnsi="Times New Roman" w:cs="Times New Roman"/>
          <w:b/>
          <w:bCs/>
          <w:sz w:val="24"/>
          <w:szCs w:val="24"/>
        </w:rPr>
        <w:t>tại</w:t>
      </w:r>
      <w:proofErr w:type="spellEnd"/>
      <w:r w:rsidRPr="00A50E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CTCP </w:t>
      </w:r>
      <w:proofErr w:type="spellStart"/>
      <w:r w:rsidRPr="00A50E4E">
        <w:rPr>
          <w:rFonts w:ascii="Times New Roman" w:eastAsia="Times New Roman" w:hAnsi="Times New Roman" w:cs="Times New Roman"/>
          <w:b/>
          <w:bCs/>
          <w:sz w:val="24"/>
          <w:szCs w:val="24"/>
        </w:rPr>
        <w:t>Thủy</w:t>
      </w:r>
      <w:proofErr w:type="spellEnd"/>
      <w:r w:rsidRPr="00A50E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0E4E">
        <w:rPr>
          <w:rFonts w:ascii="Times New Roman" w:eastAsia="Times New Roman" w:hAnsi="Times New Roman" w:cs="Times New Roman"/>
          <w:b/>
          <w:bCs/>
          <w:sz w:val="24"/>
          <w:szCs w:val="24"/>
        </w:rPr>
        <w:t>Điện</w:t>
      </w:r>
      <w:proofErr w:type="spellEnd"/>
      <w:r w:rsidRPr="00A50E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0E4E">
        <w:rPr>
          <w:rFonts w:ascii="Times New Roman" w:eastAsia="Times New Roman" w:hAnsi="Times New Roman" w:cs="Times New Roman"/>
          <w:b/>
          <w:bCs/>
          <w:sz w:val="24"/>
          <w:szCs w:val="24"/>
        </w:rPr>
        <w:t>Trà</w:t>
      </w:r>
      <w:proofErr w:type="spellEnd"/>
      <w:r w:rsidRPr="00A50E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0E4E">
        <w:rPr>
          <w:rFonts w:ascii="Times New Roman" w:eastAsia="Times New Roman" w:hAnsi="Times New Roman" w:cs="Times New Roman"/>
          <w:b/>
          <w:bCs/>
          <w:sz w:val="24"/>
          <w:szCs w:val="24"/>
        </w:rPr>
        <w:t>Xom</w:t>
      </w:r>
      <w:proofErr w:type="spellEnd"/>
      <w:r w:rsidRPr="00A50E4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A50E4E">
        <w:rPr>
          <w:rFonts w:ascii="Times New Roman" w:eastAsia="Times New Roman" w:hAnsi="Times New Roman" w:cs="Times New Roman"/>
          <w:sz w:val="24"/>
          <w:szCs w:val="24"/>
        </w:rPr>
        <w:br/>
        <w:t> (</w:t>
      </w:r>
      <w:proofErr w:type="spellStart"/>
      <w:r w:rsidRPr="00A50E4E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A50E4E">
        <w:rPr>
          <w:rFonts w:ascii="Times New Roman" w:eastAsia="Times New Roman" w:hAnsi="Times New Roman" w:cs="Times New Roman"/>
          <w:sz w:val="24"/>
          <w:szCs w:val="24"/>
        </w:rPr>
        <w:t>: 15/08/2013)</w:t>
      </w:r>
      <w:r w:rsidRPr="00A50E4E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A50E4E" w:rsidRPr="00A50E4E" w:rsidTr="00A50E4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</w:tblGrid>
            <w:tr w:rsidR="00A50E4E" w:rsidRPr="00A50E4E" w:rsidTr="00A50E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0E4E" w:rsidRPr="00A50E4E" w:rsidRDefault="00A50E4E" w:rsidP="00A50E4E">
                  <w:pPr>
                    <w:spacing w:after="0" w:line="240" w:lineRule="auto"/>
                    <w:ind w:left="0" w:right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50E4E" w:rsidRPr="00A50E4E" w:rsidRDefault="00A50E4E" w:rsidP="00A50E4E">
            <w:pPr>
              <w:spacing w:before="100" w:beforeAutospacing="1" w:after="100" w:afterAutospacing="1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Căn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cứ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Quyết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định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số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366/TCT-HĐTV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ngày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31/07/2013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của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Tổng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công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ty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Sông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Đà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về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việc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bán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cổ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phiếu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của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Tổng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Công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ty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Sông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Đà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tại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Công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ty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cổ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phần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thủy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điện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Trà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Xom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Tổng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Công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ty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Sông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Đà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thông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báo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bán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Đấu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giá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cổ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phiếu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như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sau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: </w:t>
            </w:r>
          </w:p>
          <w:p w:rsidR="00A50E4E" w:rsidRPr="00A50E4E" w:rsidRDefault="00A50E4E" w:rsidP="00A50E4E">
            <w:pPr>
              <w:spacing w:before="100" w:beforeAutospacing="1" w:after="100" w:afterAutospacing="1" w:line="240" w:lineRule="auto"/>
              <w:ind w:left="60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4E">
              <w:rPr>
                <w:rFonts w:ascii="Arial" w:eastAsia="Times New Roman" w:hAnsi="Arial" w:cs="Arial"/>
                <w:sz w:val="24"/>
                <w:szCs w:val="24"/>
              </w:rPr>
              <w:t>- 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Tên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công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ty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:   </w:t>
            </w:r>
            <w:r w:rsidRPr="00A50E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CÔNG TY CỔ PHẦN THỦY ĐIỆN TRÀ XOM</w:t>
            </w:r>
          </w:p>
          <w:p w:rsidR="00A50E4E" w:rsidRPr="00A50E4E" w:rsidRDefault="00A50E4E" w:rsidP="00A50E4E">
            <w:pPr>
              <w:spacing w:before="100" w:beforeAutospacing="1" w:after="100" w:afterAutospacing="1" w:line="240" w:lineRule="auto"/>
              <w:ind w:left="180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Địa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chỉ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Tầng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3,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số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278 Nguyễn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Thị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Định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, Nguyễn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Văn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Cừ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Tp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Quy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Nhơn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Bình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Định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A50E4E" w:rsidRPr="00A50E4E" w:rsidRDefault="00A50E4E" w:rsidP="00A50E4E">
            <w:pPr>
              <w:spacing w:before="100" w:beforeAutospacing="1" w:after="100" w:afterAutospacing="1" w:line="240" w:lineRule="auto"/>
              <w:ind w:left="180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Điện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thoại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: (056) 3546 788 Fax: (056) 3546 788.</w:t>
            </w:r>
          </w:p>
          <w:p w:rsidR="00A50E4E" w:rsidRPr="00A50E4E" w:rsidRDefault="00A50E4E" w:rsidP="00A50E4E">
            <w:pPr>
              <w:spacing w:before="100" w:beforeAutospacing="1" w:after="100" w:afterAutospacing="1" w:line="240" w:lineRule="auto"/>
              <w:ind w:left="60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4E">
              <w:rPr>
                <w:rFonts w:ascii="Arial" w:eastAsia="Times New Roman" w:hAnsi="Arial" w:cs="Arial"/>
                <w:sz w:val="24"/>
                <w:szCs w:val="24"/>
              </w:rPr>
              <w:t>- 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Ngành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nghề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kinh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doanh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Sản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xuất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truyền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tải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phân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phối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điện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xây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dựng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công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trình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đường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bộ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xây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dựngcông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trình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kỹ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thuật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dân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dụng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khác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...</w:t>
            </w:r>
          </w:p>
          <w:p w:rsidR="00A50E4E" w:rsidRPr="00A50E4E" w:rsidRDefault="00A50E4E" w:rsidP="00A50E4E">
            <w:pPr>
              <w:spacing w:before="100" w:beforeAutospacing="1" w:after="100" w:afterAutospacing="1" w:line="240" w:lineRule="auto"/>
              <w:ind w:left="60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4E">
              <w:rPr>
                <w:rFonts w:ascii="Arial" w:eastAsia="Times New Roman" w:hAnsi="Arial" w:cs="Arial"/>
                <w:sz w:val="24"/>
                <w:szCs w:val="24"/>
              </w:rPr>
              <w:t>- 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Vốn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điều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lệ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: 156.628.850.000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đồng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           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Vốn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của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TCT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Sông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Đà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: 82.578.500.000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đồng</w:t>
            </w:r>
            <w:proofErr w:type="spellEnd"/>
          </w:p>
          <w:p w:rsidR="00A50E4E" w:rsidRPr="00A50E4E" w:rsidRDefault="00A50E4E" w:rsidP="00A50E4E">
            <w:pPr>
              <w:spacing w:before="100" w:beforeAutospacing="1" w:after="100" w:afterAutospacing="1" w:line="240" w:lineRule="auto"/>
              <w:ind w:left="60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4E">
              <w:rPr>
                <w:rFonts w:ascii="Arial" w:eastAsia="Times New Roman" w:hAnsi="Arial" w:cs="Arial"/>
                <w:sz w:val="24"/>
                <w:szCs w:val="24"/>
              </w:rPr>
              <w:t>- 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Điều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kiện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tham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dự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đấu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giá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Tất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cả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các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nhà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đầu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tư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đáp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ứng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các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điều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kiện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theo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Quy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chế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bán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đấu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giá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cổ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phần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của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Tổng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Công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ty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Sông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Đà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tại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Công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ty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cổ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phần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thủy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điện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Trà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Xom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do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Sở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Giao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dịch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Chứng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khoán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50E4E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Hà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Nội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ban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hành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A50E4E" w:rsidRPr="00A50E4E" w:rsidRDefault="00A50E4E" w:rsidP="00A50E4E">
            <w:pPr>
              <w:spacing w:before="100" w:beforeAutospacing="1" w:after="100" w:afterAutospacing="1" w:line="240" w:lineRule="auto"/>
              <w:ind w:left="60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4E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Tên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địa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chỉ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tổ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chức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bán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đấu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giá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: </w:t>
            </w:r>
          </w:p>
          <w:p w:rsidR="00A50E4E" w:rsidRPr="00A50E4E" w:rsidRDefault="00A50E4E" w:rsidP="00A50E4E">
            <w:pPr>
              <w:spacing w:before="100" w:beforeAutospacing="1" w:after="100" w:afterAutospacing="1" w:line="240" w:lineRule="auto"/>
              <w:ind w:left="180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4E">
              <w:rPr>
                <w:rFonts w:ascii="Arial" w:eastAsia="Times New Roman" w:hAnsi="Arial" w:cs="Arial"/>
                <w:sz w:val="24"/>
                <w:szCs w:val="24"/>
              </w:rPr>
              <w:t>SỞ GIAO DỊCH CHỨNG KHOÁN HÀ NỘI (HNX)</w:t>
            </w:r>
          </w:p>
          <w:p w:rsidR="00A50E4E" w:rsidRPr="00A50E4E" w:rsidRDefault="00A50E4E" w:rsidP="00A50E4E">
            <w:pPr>
              <w:spacing w:before="100" w:beforeAutospacing="1" w:after="100" w:afterAutospacing="1" w:line="240" w:lineRule="auto"/>
              <w:ind w:left="180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Đại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chỉ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Số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02,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Phan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Chu Trinh,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Hoàn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Kiếm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, Hà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Nội</w:t>
            </w:r>
            <w:proofErr w:type="spellEnd"/>
          </w:p>
          <w:p w:rsidR="00A50E4E" w:rsidRPr="00A50E4E" w:rsidRDefault="00A50E4E" w:rsidP="00A50E4E">
            <w:pPr>
              <w:spacing w:before="100" w:beforeAutospacing="1" w:after="100" w:afterAutospacing="1" w:line="240" w:lineRule="auto"/>
              <w:ind w:left="60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4E">
              <w:rPr>
                <w:rFonts w:ascii="Arial" w:eastAsia="Times New Roman" w:hAnsi="Arial" w:cs="Arial"/>
                <w:sz w:val="24"/>
                <w:szCs w:val="24"/>
              </w:rPr>
              <w:t>- 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Tổ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chức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tư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vấn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: CÔNG TY CỔ PHẦN CHỨNG KHOÁN KIM LONG (KLS)</w:t>
            </w:r>
          </w:p>
          <w:p w:rsidR="00A50E4E" w:rsidRPr="00A50E4E" w:rsidRDefault="00A50E4E" w:rsidP="00A50E4E">
            <w:pPr>
              <w:spacing w:after="0" w:line="240" w:lineRule="auto"/>
              <w:ind w:left="60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4E">
              <w:rPr>
                <w:rFonts w:ascii="Arial" w:eastAsia="Times New Roman" w:hAnsi="Arial" w:cs="Arial"/>
                <w:sz w:val="24"/>
                <w:szCs w:val="24"/>
              </w:rPr>
              <w:t>- 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Cổ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phiếu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bán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đấu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giá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A50E4E" w:rsidRPr="00A50E4E" w:rsidRDefault="00A50E4E" w:rsidP="00A50E4E">
            <w:pPr>
              <w:spacing w:after="0" w:line="240" w:lineRule="auto"/>
              <w:ind w:left="180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Tổ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chức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bán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đấu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giá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cổ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phiếu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: TỔNG CÔNG TY SÔNG ĐÀ</w:t>
            </w:r>
          </w:p>
          <w:p w:rsidR="00A50E4E" w:rsidRPr="00A50E4E" w:rsidRDefault="00A50E4E" w:rsidP="00A50E4E">
            <w:pPr>
              <w:spacing w:after="0" w:line="240" w:lineRule="auto"/>
              <w:ind w:left="180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Tên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cổ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phiếu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Cổ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phiếu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Công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ty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cổ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phần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thủy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điện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Trà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Xom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A50E4E" w:rsidRPr="00A50E4E" w:rsidRDefault="00A50E4E" w:rsidP="00A50E4E">
            <w:pPr>
              <w:spacing w:after="0" w:line="240" w:lineRule="auto"/>
              <w:ind w:left="180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Loại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cổ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phiếu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Cổ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phiếu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phổ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thông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Giá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khởi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điểm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: 10.000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đồng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cổ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phiếu</w:t>
            </w:r>
            <w:proofErr w:type="spellEnd"/>
          </w:p>
          <w:p w:rsidR="00A50E4E" w:rsidRPr="00A50E4E" w:rsidRDefault="00A50E4E" w:rsidP="00A50E4E">
            <w:pPr>
              <w:spacing w:after="0" w:line="240" w:lineRule="auto"/>
              <w:ind w:left="180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Mệnh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giá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: 10.000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đồng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cổ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phiếu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Tổng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số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lượng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cổ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phiếu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đấu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giá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: 8.257.850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cổ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phiếu</w:t>
            </w:r>
            <w:proofErr w:type="spellEnd"/>
          </w:p>
          <w:p w:rsidR="00A50E4E" w:rsidRPr="00A50E4E" w:rsidRDefault="00A50E4E" w:rsidP="00A50E4E">
            <w:pPr>
              <w:spacing w:before="100" w:beforeAutospacing="1" w:after="100" w:afterAutospacing="1" w:line="240" w:lineRule="auto"/>
              <w:ind w:left="60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4E">
              <w:rPr>
                <w:rFonts w:ascii="Arial" w:eastAsia="Times New Roman" w:hAnsi="Arial" w:cs="Arial"/>
                <w:sz w:val="24"/>
                <w:szCs w:val="24"/>
              </w:rPr>
              <w:t>- 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Cung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cấp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đơn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đăng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ký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tham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gia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đấu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giá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địa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chỉ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Công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bố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thông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tin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Nộp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tiền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đặt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cọc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theo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quy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định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tại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Quy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chế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bán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đấu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giá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do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Sở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Giao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dịch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Chứng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khoán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Hà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Nội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ban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hành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A50E4E" w:rsidRPr="00A50E4E" w:rsidRDefault="00A50E4E" w:rsidP="00A50E4E">
            <w:pPr>
              <w:spacing w:after="0" w:line="240" w:lineRule="auto"/>
              <w:ind w:left="60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4E">
              <w:rPr>
                <w:rFonts w:ascii="Arial" w:eastAsia="Times New Roman" w:hAnsi="Arial" w:cs="Arial"/>
                <w:sz w:val="24"/>
                <w:szCs w:val="24"/>
              </w:rPr>
              <w:t>- 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Thời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gian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phát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đơn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proofErr w:type="gram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đăng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ký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nộp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tiền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cọc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từ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ngày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19/08/2013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đến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15h30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ngày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09/09/2013 (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Sáng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từ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 8h30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đến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11h00,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chiều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từ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13h30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đến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15h30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các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ngày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làm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việc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).</w:t>
            </w:r>
          </w:p>
          <w:p w:rsidR="00A50E4E" w:rsidRPr="00A50E4E" w:rsidRDefault="00A50E4E" w:rsidP="00A50E4E">
            <w:pPr>
              <w:spacing w:before="100" w:beforeAutospacing="1" w:after="100" w:afterAutospacing="1" w:line="240" w:lineRule="auto"/>
              <w:ind w:left="60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4E">
              <w:rPr>
                <w:rFonts w:ascii="Arial" w:eastAsia="Times New Roman" w:hAnsi="Arial" w:cs="Arial"/>
                <w:sz w:val="24"/>
                <w:szCs w:val="24"/>
              </w:rPr>
              <w:t>- 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Nộp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phiếu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tham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dự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đấu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giá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chậm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nhất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16h00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ngày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12/09/2013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tại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các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đại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lý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đấu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giá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công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bố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trong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Quy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chế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đấu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giá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A50E4E" w:rsidRPr="00A50E4E" w:rsidRDefault="00A50E4E" w:rsidP="00A50E4E">
            <w:pPr>
              <w:spacing w:after="0" w:line="240" w:lineRule="auto"/>
              <w:ind w:left="60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Thời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gian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tổ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chức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đấu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giá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: 8h30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ngày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16/09/2013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tại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Sở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Giao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dịch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Chứng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khoán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Hà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Nội</w:t>
            </w:r>
            <w:proofErr w:type="spellEnd"/>
          </w:p>
          <w:p w:rsidR="00A50E4E" w:rsidRPr="00A50E4E" w:rsidRDefault="00A50E4E" w:rsidP="00A50E4E">
            <w:pPr>
              <w:spacing w:after="0" w:line="240" w:lineRule="auto"/>
              <w:ind w:left="60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Thời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gian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nộp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tiền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mua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cổ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phần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hoàn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trả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tiền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đặt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cọc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theo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Quy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chế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đấu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giá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cổ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phần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của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Tổng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Công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ty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Sông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Đà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tại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Công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ty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cổ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phần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thủy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điện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Trà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Xom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do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Sở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Giao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dịch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Chứng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khoán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Hà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Nội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 xml:space="preserve"> ban </w:t>
            </w:r>
            <w:proofErr w:type="spellStart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hành</w:t>
            </w:r>
            <w:proofErr w:type="spellEnd"/>
            <w:r w:rsidRPr="00A50E4E">
              <w:rPr>
                <w:rFonts w:ascii="Arial" w:eastAsia="Times New Roman" w:hAnsi="Arial" w:cs="Arial"/>
                <w:sz w:val="24"/>
                <w:szCs w:val="24"/>
              </w:rPr>
              <w:t>. </w:t>
            </w:r>
          </w:p>
          <w:p w:rsidR="00A50E4E" w:rsidRPr="00A50E4E" w:rsidRDefault="00A50E4E" w:rsidP="00A50E4E">
            <w:pPr>
              <w:spacing w:before="100" w:beforeAutospacing="1" w:after="100" w:afterAutospacing="1" w:line="240" w:lineRule="auto"/>
              <w:ind w:left="60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đấu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mua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cổ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tin,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đấu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website: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Sông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Đà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www.songda.vn;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khoán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Hà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www.hnx.vn;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cổ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>khoán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Kim Long: www.kls.vn. </w:t>
            </w:r>
          </w:p>
          <w:p w:rsidR="00A50E4E" w:rsidRPr="00A50E4E" w:rsidRDefault="00A50E4E" w:rsidP="00A50E4E">
            <w:pPr>
              <w:spacing w:before="100" w:beforeAutospacing="1" w:after="100" w:afterAutospacing="1" w:line="240" w:lineRule="auto"/>
              <w:ind w:left="120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E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Các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tài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liệu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công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bố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thông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tin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kèm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50E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theo</w:t>
            </w:r>
            <w:proofErr w:type="spellEnd"/>
            <w:r w:rsidRPr="00A50E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 </w:t>
            </w:r>
            <w:hyperlink r:id="rId4" w:history="1">
              <w:r w:rsidRPr="00A50E4E">
                <w:rPr>
                  <w:rFonts w:ascii="Arial" w:eastAsia="Times New Roman" w:hAnsi="Arial" w:cs="Arial"/>
                  <w:i/>
                  <w:iCs/>
                  <w:color w:val="0000FF"/>
                  <w:sz w:val="24"/>
                  <w:szCs w:val="24"/>
                  <w:u w:val="single"/>
                </w:rPr>
                <w:t>TRÀ XOM 1</w:t>
              </w:r>
            </w:hyperlink>
            <w:r w:rsidRPr="00A50E4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hyperlink r:id="rId5" w:history="1">
              <w:r w:rsidRPr="00A50E4E">
                <w:rPr>
                  <w:rFonts w:ascii="Arial" w:eastAsia="Times New Roman" w:hAnsi="Arial" w:cs="Arial"/>
                  <w:i/>
                  <w:iCs/>
                  <w:color w:val="0000FF"/>
                  <w:sz w:val="24"/>
                  <w:szCs w:val="24"/>
                  <w:u w:val="single"/>
                </w:rPr>
                <w:t>TRÀ XOM 2</w:t>
              </w:r>
            </w:hyperlink>
            <w:r w:rsidRPr="00A50E4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  <w:r w:rsidRPr="00A50E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A50E4E" w:rsidRPr="00A50E4E" w:rsidRDefault="00A50E4E" w:rsidP="00A50E4E">
            <w:pPr>
              <w:spacing w:before="100" w:beforeAutospacing="1" w:after="100" w:afterAutospacing="1" w:line="240" w:lineRule="auto"/>
              <w:ind w:left="120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26F7" w:rsidRDefault="007826F7"/>
    <w:sectPr w:rsidR="007826F7" w:rsidSect="00782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0E4E"/>
    <w:rsid w:val="00224C50"/>
    <w:rsid w:val="007826F7"/>
    <w:rsid w:val="00A50E4E"/>
    <w:rsid w:val="00B40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left="360" w:right="7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sdetailtitle">
    <w:name w:val="newsdetailtitle"/>
    <w:basedOn w:val="DefaultParagraphFont"/>
    <w:rsid w:val="00A50E4E"/>
  </w:style>
  <w:style w:type="character" w:customStyle="1" w:styleId="newestdate">
    <w:name w:val="newestdate"/>
    <w:basedOn w:val="DefaultParagraphFont"/>
    <w:rsid w:val="00A50E4E"/>
  </w:style>
  <w:style w:type="paragraph" w:styleId="NormalWeb">
    <w:name w:val="Normal (Web)"/>
    <w:basedOn w:val="Normal"/>
    <w:uiPriority w:val="99"/>
    <w:unhideWhenUsed/>
    <w:rsid w:val="00A50E4E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0E4E"/>
    <w:rPr>
      <w:b/>
      <w:bCs/>
    </w:rPr>
  </w:style>
  <w:style w:type="character" w:customStyle="1" w:styleId="apple-tab-span">
    <w:name w:val="apple-tab-span"/>
    <w:basedOn w:val="DefaultParagraphFont"/>
    <w:rsid w:val="00A50E4E"/>
  </w:style>
  <w:style w:type="character" w:styleId="Emphasis">
    <w:name w:val="Emphasis"/>
    <w:basedOn w:val="DefaultParagraphFont"/>
    <w:uiPriority w:val="20"/>
    <w:qFormat/>
    <w:rsid w:val="00A50E4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50E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148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030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4855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836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8110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1395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46806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580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7075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14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65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85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79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8703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183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4151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7954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599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6864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531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4936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07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272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830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5269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1029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9716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798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29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9416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065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840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500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614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ngda.vn/info/Portals/1/2012/08/TR%C3%80%20XOM%202.rar" TargetMode="External"/><Relationship Id="rId4" Type="http://schemas.openxmlformats.org/officeDocument/2006/relationships/hyperlink" Target="http://www.songda.vn/info/Portals/1/2012/08/TR%C3%80%20XOM%201.r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Company>EVN Telecom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2013-08-16T10:54:00Z</dcterms:created>
  <dcterms:modified xsi:type="dcterms:W3CDTF">2013-08-16T10:54:00Z</dcterms:modified>
</cp:coreProperties>
</file>